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E4" w:rsidRDefault="00E73FE4" w:rsidP="00865571">
      <w:pPr>
        <w:jc w:val="center"/>
        <w:rPr>
          <w:b/>
        </w:rPr>
      </w:pPr>
      <w:r w:rsidRPr="00E73FE4">
        <w:rPr>
          <w:b/>
        </w:rPr>
        <w:drawing>
          <wp:anchor distT="0" distB="0" distL="114300" distR="114300" simplePos="0" relativeHeight="251660288" behindDoc="0" locked="0" layoutInCell="1" allowOverlap="1" wp14:anchorId="4F2BBCD6" wp14:editId="5BF82B71">
            <wp:simplePos x="0" y="0"/>
            <wp:positionH relativeFrom="column">
              <wp:posOffset>4127500</wp:posOffset>
            </wp:positionH>
            <wp:positionV relativeFrom="paragraph">
              <wp:posOffset>-264160</wp:posOffset>
            </wp:positionV>
            <wp:extent cx="1423035" cy="801370"/>
            <wp:effectExtent l="0" t="0" r="0" b="0"/>
            <wp:wrapThrough wrapText="bothSides">
              <wp:wrapPolygon edited="0">
                <wp:start x="6651" y="3081"/>
                <wp:lineTo x="4048" y="4621"/>
                <wp:lineTo x="867" y="9242"/>
                <wp:lineTo x="867" y="16431"/>
                <wp:lineTo x="4337" y="20539"/>
                <wp:lineTo x="8096" y="21052"/>
                <wp:lineTo x="10699" y="21052"/>
                <wp:lineTo x="19084" y="20539"/>
                <wp:lineTo x="19952" y="15404"/>
                <wp:lineTo x="18506" y="7702"/>
                <wp:lineTo x="17349" y="3081"/>
                <wp:lineTo x="6651" y="3081"/>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bb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3035" cy="801370"/>
                    </a:xfrm>
                    <a:prstGeom prst="rect">
                      <a:avLst/>
                    </a:prstGeom>
                  </pic:spPr>
                </pic:pic>
              </a:graphicData>
            </a:graphic>
            <wp14:sizeRelH relativeFrom="page">
              <wp14:pctWidth>0</wp14:pctWidth>
            </wp14:sizeRelH>
            <wp14:sizeRelV relativeFrom="page">
              <wp14:pctHeight>0</wp14:pctHeight>
            </wp14:sizeRelV>
          </wp:anchor>
        </w:drawing>
      </w:r>
      <w:r w:rsidRPr="00E73FE4">
        <w:rPr>
          <w:b/>
        </w:rPr>
        <w:drawing>
          <wp:anchor distT="0" distB="0" distL="114300" distR="114300" simplePos="0" relativeHeight="251659264" behindDoc="0" locked="0" layoutInCell="1" allowOverlap="1" wp14:anchorId="28AF950B" wp14:editId="72F57F90">
            <wp:simplePos x="0" y="0"/>
            <wp:positionH relativeFrom="column">
              <wp:posOffset>247650</wp:posOffset>
            </wp:positionH>
            <wp:positionV relativeFrom="paragraph">
              <wp:posOffset>-359410</wp:posOffset>
            </wp:positionV>
            <wp:extent cx="1003300" cy="887730"/>
            <wp:effectExtent l="0" t="0" r="6350" b="7620"/>
            <wp:wrapThrough wrapText="bothSides">
              <wp:wrapPolygon edited="0">
                <wp:start x="0" y="0"/>
                <wp:lineTo x="0" y="21322"/>
                <wp:lineTo x="21327" y="21322"/>
                <wp:lineTo x="2132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mmm.png"/>
                    <pic:cNvPicPr/>
                  </pic:nvPicPr>
                  <pic:blipFill>
                    <a:blip r:embed="rId7">
                      <a:extLst>
                        <a:ext uri="{28A0092B-C50C-407E-A947-70E740481C1C}">
                          <a14:useLocalDpi xmlns:a14="http://schemas.microsoft.com/office/drawing/2010/main" val="0"/>
                        </a:ext>
                      </a:extLst>
                    </a:blip>
                    <a:stretch>
                      <a:fillRect/>
                    </a:stretch>
                  </pic:blipFill>
                  <pic:spPr>
                    <a:xfrm>
                      <a:off x="0" y="0"/>
                      <a:ext cx="1003300" cy="887730"/>
                    </a:xfrm>
                    <a:prstGeom prst="rect">
                      <a:avLst/>
                    </a:prstGeom>
                  </pic:spPr>
                </pic:pic>
              </a:graphicData>
            </a:graphic>
            <wp14:sizeRelH relativeFrom="page">
              <wp14:pctWidth>0</wp14:pctWidth>
            </wp14:sizeRelH>
            <wp14:sizeRelV relativeFrom="page">
              <wp14:pctHeight>0</wp14:pctHeight>
            </wp14:sizeRelV>
          </wp:anchor>
        </w:drawing>
      </w:r>
    </w:p>
    <w:p w:rsidR="00E73FE4" w:rsidRDefault="00E73FE4" w:rsidP="00865571">
      <w:pPr>
        <w:jc w:val="center"/>
        <w:rPr>
          <w:b/>
        </w:rPr>
      </w:pPr>
    </w:p>
    <w:p w:rsidR="000204E7" w:rsidRPr="00864496" w:rsidRDefault="00865571" w:rsidP="00865571">
      <w:pPr>
        <w:jc w:val="center"/>
        <w:rPr>
          <w:b/>
        </w:rPr>
      </w:pPr>
      <w:r w:rsidRPr="00864496">
        <w:rPr>
          <w:b/>
        </w:rPr>
        <w:t>DECLARACION PÚ</w:t>
      </w:r>
      <w:r w:rsidR="005A7DA0" w:rsidRPr="00864496">
        <w:rPr>
          <w:b/>
        </w:rPr>
        <w:t>BLICA</w:t>
      </w:r>
      <w:r w:rsidR="002C7109" w:rsidRPr="00864496">
        <w:rPr>
          <w:b/>
        </w:rPr>
        <w:t xml:space="preserve"> </w:t>
      </w:r>
    </w:p>
    <w:p w:rsidR="00865571" w:rsidRPr="00864496" w:rsidRDefault="00865571" w:rsidP="00C53BAB">
      <w:pPr>
        <w:jc w:val="both"/>
      </w:pPr>
      <w:r w:rsidRPr="00864496">
        <w:t>A través de la información publicada en la página web del Tribunal de Defensa de la Libre Competencia, el Ministerio de Tra</w:t>
      </w:r>
      <w:r w:rsidR="002C7109" w:rsidRPr="00864496">
        <w:t>nsportes y T</w:t>
      </w:r>
      <w:r w:rsidRPr="00864496">
        <w:t>elecomunicaciones ha tom</w:t>
      </w:r>
      <w:r w:rsidR="008D568A" w:rsidRPr="00864496">
        <w:t>ado conocimiento de la decisión de suspender</w:t>
      </w:r>
      <w:r w:rsidR="00864496" w:rsidRPr="00864496">
        <w:t xml:space="preserve"> provisionalmente</w:t>
      </w:r>
      <w:r w:rsidRPr="00864496">
        <w:t xml:space="preserve"> la licitación </w:t>
      </w:r>
      <w:r w:rsidR="008D568A" w:rsidRPr="00864496">
        <w:t xml:space="preserve"> </w:t>
      </w:r>
      <w:r w:rsidRPr="00864496">
        <w:t xml:space="preserve">de </w:t>
      </w:r>
      <w:proofErr w:type="spellStart"/>
      <w:r w:rsidRPr="00864496">
        <w:t>Transantiago</w:t>
      </w:r>
      <w:proofErr w:type="spellEnd"/>
      <w:r w:rsidR="00B92B2F">
        <w:t xml:space="preserve">, hasta la fecha </w:t>
      </w:r>
      <w:r w:rsidR="00F45756" w:rsidRPr="00864496">
        <w:t xml:space="preserve">definitiva </w:t>
      </w:r>
      <w:r w:rsidR="00B92B2F">
        <w:t xml:space="preserve">que </w:t>
      </w:r>
      <w:r w:rsidR="00F45756" w:rsidRPr="00864496">
        <w:t xml:space="preserve">dicho </w:t>
      </w:r>
      <w:r w:rsidR="008D568A" w:rsidRPr="00864496">
        <w:t>tribunal determine</w:t>
      </w:r>
      <w:r w:rsidR="002C7109" w:rsidRPr="00864496">
        <w:t xml:space="preserve">, respecto de lo cual </w:t>
      </w:r>
      <w:r w:rsidR="008D568A" w:rsidRPr="00864496">
        <w:t xml:space="preserve">el ministerio </w:t>
      </w:r>
      <w:r w:rsidR="002C7109" w:rsidRPr="00864496">
        <w:t>declara:</w:t>
      </w:r>
    </w:p>
    <w:p w:rsidR="002C7109" w:rsidRPr="00864496" w:rsidRDefault="002C7109" w:rsidP="00864496">
      <w:pPr>
        <w:pStyle w:val="p1"/>
        <w:numPr>
          <w:ilvl w:val="0"/>
          <w:numId w:val="1"/>
        </w:numPr>
        <w:jc w:val="both"/>
        <w:rPr>
          <w:rStyle w:val="apple-converted-space"/>
          <w:rFonts w:asciiTheme="minorHAnsi" w:hAnsiTheme="minorHAnsi"/>
          <w:sz w:val="22"/>
          <w:szCs w:val="22"/>
        </w:rPr>
      </w:pPr>
      <w:r w:rsidRPr="00864496">
        <w:rPr>
          <w:rStyle w:val="s1"/>
          <w:rFonts w:asciiTheme="minorHAnsi" w:hAnsiTheme="minorHAnsi"/>
          <w:sz w:val="22"/>
          <w:szCs w:val="22"/>
        </w:rPr>
        <w:t>Iniciamos el camino de licitar en el año 2015, con la convicción que debíamos trabajar arduamente para me</w:t>
      </w:r>
      <w:r w:rsidR="008D568A" w:rsidRPr="00864496">
        <w:rPr>
          <w:rStyle w:val="s1"/>
          <w:rFonts w:asciiTheme="minorHAnsi" w:hAnsiTheme="minorHAnsi"/>
          <w:sz w:val="22"/>
          <w:szCs w:val="22"/>
        </w:rPr>
        <w:t>jorar la calidad de vida de los</w:t>
      </w:r>
      <w:r w:rsidRPr="00864496">
        <w:rPr>
          <w:rStyle w:val="s1"/>
          <w:rFonts w:asciiTheme="minorHAnsi" w:hAnsiTheme="minorHAnsi"/>
          <w:sz w:val="22"/>
          <w:szCs w:val="22"/>
        </w:rPr>
        <w:t xml:space="preserve"> miles de ciudadanos que día a día utilizan </w:t>
      </w:r>
      <w:proofErr w:type="spellStart"/>
      <w:r w:rsidRPr="00864496">
        <w:rPr>
          <w:rStyle w:val="s1"/>
          <w:rFonts w:asciiTheme="minorHAnsi" w:hAnsiTheme="minorHAnsi"/>
          <w:sz w:val="22"/>
          <w:szCs w:val="22"/>
        </w:rPr>
        <w:t>Transantiago</w:t>
      </w:r>
      <w:proofErr w:type="spellEnd"/>
      <w:r w:rsidRPr="00864496">
        <w:rPr>
          <w:rStyle w:val="s1"/>
          <w:rFonts w:asciiTheme="minorHAnsi" w:hAnsiTheme="minorHAnsi"/>
          <w:sz w:val="22"/>
          <w:szCs w:val="22"/>
        </w:rPr>
        <w:t>.</w:t>
      </w:r>
      <w:r w:rsidRPr="00864496">
        <w:rPr>
          <w:rStyle w:val="apple-converted-space"/>
          <w:rFonts w:asciiTheme="minorHAnsi" w:hAnsiTheme="minorHAnsi"/>
          <w:sz w:val="22"/>
          <w:szCs w:val="22"/>
        </w:rPr>
        <w:t> </w:t>
      </w:r>
    </w:p>
    <w:p w:rsidR="002C7109" w:rsidRPr="00864496" w:rsidRDefault="002C7109" w:rsidP="002C7109">
      <w:pPr>
        <w:pStyle w:val="p1"/>
        <w:jc w:val="both"/>
        <w:rPr>
          <w:rFonts w:asciiTheme="minorHAnsi" w:hAnsiTheme="minorHAnsi"/>
          <w:sz w:val="22"/>
          <w:szCs w:val="22"/>
        </w:rPr>
      </w:pPr>
    </w:p>
    <w:p w:rsidR="002C7109" w:rsidRPr="00864496" w:rsidRDefault="008D568A" w:rsidP="00864496">
      <w:pPr>
        <w:pStyle w:val="p1"/>
        <w:numPr>
          <w:ilvl w:val="0"/>
          <w:numId w:val="1"/>
        </w:numPr>
        <w:jc w:val="both"/>
        <w:rPr>
          <w:rStyle w:val="s1"/>
          <w:rFonts w:asciiTheme="minorHAnsi" w:hAnsiTheme="minorHAnsi"/>
          <w:sz w:val="22"/>
          <w:szCs w:val="22"/>
        </w:rPr>
      </w:pPr>
      <w:r w:rsidRPr="00864496">
        <w:rPr>
          <w:rStyle w:val="s1"/>
          <w:rFonts w:asciiTheme="minorHAnsi" w:hAnsiTheme="minorHAnsi"/>
          <w:sz w:val="22"/>
          <w:szCs w:val="22"/>
        </w:rPr>
        <w:t xml:space="preserve">Este proceso </w:t>
      </w:r>
      <w:r w:rsidR="002C7109" w:rsidRPr="00864496">
        <w:rPr>
          <w:rStyle w:val="s1"/>
          <w:rFonts w:asciiTheme="minorHAnsi" w:hAnsiTheme="minorHAnsi"/>
          <w:sz w:val="22"/>
          <w:szCs w:val="22"/>
        </w:rPr>
        <w:t>permitirá</w:t>
      </w:r>
      <w:r w:rsidRPr="00864496">
        <w:rPr>
          <w:rStyle w:val="s1"/>
          <w:rFonts w:asciiTheme="minorHAnsi" w:hAnsiTheme="minorHAnsi"/>
          <w:sz w:val="22"/>
          <w:szCs w:val="22"/>
        </w:rPr>
        <w:t xml:space="preserve">, por ejemplo, </w:t>
      </w:r>
      <w:r w:rsidR="00864496" w:rsidRPr="00864496">
        <w:rPr>
          <w:rStyle w:val="s1"/>
          <w:rFonts w:asciiTheme="minorHAnsi" w:hAnsiTheme="minorHAnsi"/>
          <w:sz w:val="22"/>
          <w:szCs w:val="22"/>
        </w:rPr>
        <w:t>incluir</w:t>
      </w:r>
      <w:r w:rsidR="002C7109" w:rsidRPr="00864496">
        <w:rPr>
          <w:rStyle w:val="s1"/>
          <w:rFonts w:asciiTheme="minorHAnsi" w:hAnsiTheme="minorHAnsi"/>
          <w:sz w:val="22"/>
          <w:szCs w:val="22"/>
        </w:rPr>
        <w:t xml:space="preserve"> buses con nueva tecnología e in</w:t>
      </w:r>
      <w:r w:rsidR="00E26993" w:rsidRPr="00864496">
        <w:rPr>
          <w:rStyle w:val="s1"/>
          <w:rFonts w:asciiTheme="minorHAnsi" w:hAnsiTheme="minorHAnsi"/>
          <w:sz w:val="22"/>
          <w:szCs w:val="22"/>
        </w:rPr>
        <w:t xml:space="preserve">centivos para que aspectos tan relevantes como la frecuencia y regularidad se cumplan </w:t>
      </w:r>
      <w:r w:rsidRPr="00864496">
        <w:rPr>
          <w:rStyle w:val="s1"/>
          <w:rFonts w:asciiTheme="minorHAnsi" w:hAnsiTheme="minorHAnsi"/>
          <w:sz w:val="22"/>
          <w:szCs w:val="22"/>
        </w:rPr>
        <w:t>satisfactoriamente</w:t>
      </w:r>
      <w:r w:rsidR="00E26993" w:rsidRPr="00864496">
        <w:rPr>
          <w:rStyle w:val="s1"/>
          <w:rFonts w:asciiTheme="minorHAnsi" w:hAnsiTheme="minorHAnsi"/>
          <w:sz w:val="22"/>
          <w:szCs w:val="22"/>
        </w:rPr>
        <w:t>.</w:t>
      </w:r>
    </w:p>
    <w:p w:rsidR="002C7109" w:rsidRPr="00864496" w:rsidRDefault="002C7109" w:rsidP="002C7109">
      <w:pPr>
        <w:pStyle w:val="p1"/>
        <w:jc w:val="both"/>
        <w:rPr>
          <w:rStyle w:val="s1"/>
          <w:rFonts w:asciiTheme="minorHAnsi" w:hAnsiTheme="minorHAnsi"/>
          <w:sz w:val="22"/>
          <w:szCs w:val="22"/>
        </w:rPr>
      </w:pPr>
    </w:p>
    <w:p w:rsidR="008D568A" w:rsidRPr="00864496" w:rsidRDefault="008D568A" w:rsidP="00864496">
      <w:pPr>
        <w:pStyle w:val="p1"/>
        <w:numPr>
          <w:ilvl w:val="0"/>
          <w:numId w:val="1"/>
        </w:numPr>
        <w:jc w:val="both"/>
        <w:rPr>
          <w:rStyle w:val="s1"/>
          <w:rFonts w:asciiTheme="minorHAnsi" w:hAnsiTheme="minorHAnsi"/>
          <w:sz w:val="22"/>
          <w:szCs w:val="22"/>
        </w:rPr>
      </w:pPr>
      <w:r w:rsidRPr="00864496">
        <w:rPr>
          <w:rStyle w:val="s1"/>
          <w:rFonts w:asciiTheme="minorHAnsi" w:hAnsiTheme="minorHAnsi"/>
          <w:sz w:val="22"/>
          <w:szCs w:val="22"/>
        </w:rPr>
        <w:t>Con un fuerte compromiso enfrentamos este desafío, que busca incorporar cambios para la ciudadanía, los que no fueron realizados entre cuatro paredes, sino que en conjunto con los usuarios, lo que le ha dado un valor adicional a la licitación.</w:t>
      </w:r>
    </w:p>
    <w:p w:rsidR="008D568A" w:rsidRPr="00864496" w:rsidRDefault="008D568A" w:rsidP="002C7109">
      <w:pPr>
        <w:pStyle w:val="p1"/>
        <w:jc w:val="both"/>
        <w:rPr>
          <w:rStyle w:val="s1"/>
          <w:rFonts w:asciiTheme="minorHAnsi" w:hAnsiTheme="minorHAnsi"/>
          <w:sz w:val="22"/>
          <w:szCs w:val="22"/>
        </w:rPr>
      </w:pPr>
    </w:p>
    <w:p w:rsidR="006D33B8" w:rsidRPr="00864496" w:rsidRDefault="002C7109" w:rsidP="00864496">
      <w:pPr>
        <w:pStyle w:val="p1"/>
        <w:numPr>
          <w:ilvl w:val="0"/>
          <w:numId w:val="1"/>
        </w:numPr>
        <w:jc w:val="both"/>
        <w:rPr>
          <w:rStyle w:val="s1"/>
          <w:rFonts w:asciiTheme="minorHAnsi" w:hAnsiTheme="minorHAnsi"/>
          <w:sz w:val="22"/>
          <w:szCs w:val="22"/>
        </w:rPr>
      </w:pPr>
      <w:r w:rsidRPr="00864496">
        <w:rPr>
          <w:rStyle w:val="s1"/>
          <w:rFonts w:asciiTheme="minorHAnsi" w:hAnsiTheme="minorHAnsi"/>
          <w:sz w:val="22"/>
          <w:szCs w:val="22"/>
        </w:rPr>
        <w:t>En cuanto a</w:t>
      </w:r>
      <w:r w:rsidR="00864496" w:rsidRPr="00864496">
        <w:rPr>
          <w:rStyle w:val="s1"/>
          <w:rFonts w:asciiTheme="minorHAnsi" w:hAnsiTheme="minorHAnsi"/>
          <w:sz w:val="22"/>
          <w:szCs w:val="22"/>
        </w:rPr>
        <w:t>l procedimiento</w:t>
      </w:r>
      <w:r w:rsidRPr="00864496">
        <w:rPr>
          <w:rStyle w:val="s1"/>
          <w:rFonts w:asciiTheme="minorHAnsi" w:hAnsiTheme="minorHAnsi"/>
          <w:sz w:val="22"/>
          <w:szCs w:val="22"/>
        </w:rPr>
        <w:t>, destacamos que diversos órganos se han pronunciado respect</w:t>
      </w:r>
      <w:r w:rsidR="00E26993" w:rsidRPr="00864496">
        <w:rPr>
          <w:rStyle w:val="s1"/>
          <w:rFonts w:asciiTheme="minorHAnsi" w:hAnsiTheme="minorHAnsi"/>
          <w:sz w:val="22"/>
          <w:szCs w:val="22"/>
        </w:rPr>
        <w:t xml:space="preserve">o la legalidad de </w:t>
      </w:r>
      <w:r w:rsidR="008D568A" w:rsidRPr="00864496">
        <w:rPr>
          <w:rStyle w:val="s1"/>
          <w:rFonts w:asciiTheme="minorHAnsi" w:hAnsiTheme="minorHAnsi"/>
          <w:sz w:val="22"/>
          <w:szCs w:val="22"/>
        </w:rPr>
        <w:t>éste, ratificando siempre</w:t>
      </w:r>
      <w:r w:rsidRPr="00864496">
        <w:rPr>
          <w:rStyle w:val="s1"/>
          <w:rFonts w:asciiTheme="minorHAnsi" w:hAnsiTheme="minorHAnsi"/>
          <w:sz w:val="22"/>
          <w:szCs w:val="22"/>
        </w:rPr>
        <w:t xml:space="preserve"> que se ha ajustado a derecho.</w:t>
      </w:r>
      <w:r w:rsidR="00864496" w:rsidRPr="00864496">
        <w:rPr>
          <w:rStyle w:val="s1"/>
          <w:rFonts w:asciiTheme="minorHAnsi" w:hAnsiTheme="minorHAnsi"/>
          <w:sz w:val="22"/>
          <w:szCs w:val="22"/>
        </w:rPr>
        <w:t xml:space="preserve"> </w:t>
      </w:r>
      <w:r w:rsidR="008D568A" w:rsidRPr="00864496">
        <w:rPr>
          <w:rStyle w:val="s1"/>
          <w:rFonts w:asciiTheme="minorHAnsi" w:hAnsiTheme="minorHAnsi"/>
          <w:sz w:val="22"/>
          <w:szCs w:val="22"/>
        </w:rPr>
        <w:t>Asimismo, e</w:t>
      </w:r>
      <w:r w:rsidR="00E26993" w:rsidRPr="00864496">
        <w:rPr>
          <w:rStyle w:val="s1"/>
          <w:rFonts w:asciiTheme="minorHAnsi" w:hAnsiTheme="minorHAnsi"/>
          <w:sz w:val="22"/>
          <w:szCs w:val="22"/>
        </w:rPr>
        <w:t>s normal que</w:t>
      </w:r>
      <w:r w:rsidR="006D33B8" w:rsidRPr="00864496">
        <w:rPr>
          <w:rStyle w:val="s1"/>
          <w:rFonts w:asciiTheme="minorHAnsi" w:hAnsiTheme="minorHAnsi"/>
          <w:sz w:val="22"/>
          <w:szCs w:val="22"/>
        </w:rPr>
        <w:t xml:space="preserve"> un proceso de esta envergadura sea conocido y eventualmente revisado </w:t>
      </w:r>
      <w:r w:rsidR="00E26993" w:rsidRPr="00864496">
        <w:rPr>
          <w:rStyle w:val="s1"/>
          <w:rFonts w:asciiTheme="minorHAnsi" w:hAnsiTheme="minorHAnsi"/>
          <w:sz w:val="22"/>
          <w:szCs w:val="22"/>
        </w:rPr>
        <w:t xml:space="preserve">por </w:t>
      </w:r>
      <w:r w:rsidR="006D33B8" w:rsidRPr="00864496">
        <w:rPr>
          <w:rStyle w:val="s1"/>
          <w:rFonts w:asciiTheme="minorHAnsi" w:hAnsiTheme="minorHAnsi"/>
          <w:sz w:val="22"/>
          <w:szCs w:val="22"/>
        </w:rPr>
        <w:t xml:space="preserve">órganos como </w:t>
      </w:r>
      <w:r w:rsidR="00E26993" w:rsidRPr="00864496">
        <w:rPr>
          <w:rStyle w:val="s1"/>
          <w:rFonts w:asciiTheme="minorHAnsi" w:hAnsiTheme="minorHAnsi"/>
          <w:sz w:val="22"/>
          <w:szCs w:val="22"/>
        </w:rPr>
        <w:t>el Tribunal de Defensa de Libre Competencia</w:t>
      </w:r>
      <w:r w:rsidR="00D13FCB">
        <w:rPr>
          <w:rStyle w:val="s1"/>
          <w:rFonts w:asciiTheme="minorHAnsi" w:hAnsiTheme="minorHAnsi"/>
          <w:sz w:val="22"/>
          <w:szCs w:val="22"/>
        </w:rPr>
        <w:t>, el cual fue requerido a petición de particulares interesados, dando paso a la instancia donde el ministerio expondrá los fundamentos que avalan su postura.</w:t>
      </w:r>
    </w:p>
    <w:p w:rsidR="006D33B8" w:rsidRPr="00864496" w:rsidRDefault="006D33B8" w:rsidP="00F413E2">
      <w:pPr>
        <w:pStyle w:val="p1"/>
        <w:jc w:val="both"/>
        <w:rPr>
          <w:rStyle w:val="s1"/>
          <w:rFonts w:asciiTheme="minorHAnsi" w:hAnsiTheme="minorHAnsi"/>
          <w:sz w:val="22"/>
          <w:szCs w:val="22"/>
        </w:rPr>
      </w:pPr>
    </w:p>
    <w:p w:rsidR="00EA305C" w:rsidRPr="00864496" w:rsidRDefault="006D33B8" w:rsidP="00864496">
      <w:pPr>
        <w:pStyle w:val="p1"/>
        <w:numPr>
          <w:ilvl w:val="0"/>
          <w:numId w:val="1"/>
        </w:numPr>
        <w:jc w:val="both"/>
        <w:rPr>
          <w:rStyle w:val="s1"/>
          <w:rFonts w:asciiTheme="minorHAnsi" w:hAnsiTheme="minorHAnsi"/>
          <w:sz w:val="22"/>
          <w:szCs w:val="22"/>
        </w:rPr>
      </w:pPr>
      <w:r w:rsidRPr="00864496">
        <w:rPr>
          <w:rStyle w:val="s1"/>
          <w:rFonts w:asciiTheme="minorHAnsi" w:hAnsiTheme="minorHAnsi"/>
          <w:sz w:val="22"/>
          <w:szCs w:val="22"/>
        </w:rPr>
        <w:t xml:space="preserve">En virtud de la decisión del TDLC, si bien la acataremos, adicionalmente </w:t>
      </w:r>
      <w:r w:rsidR="00EA305C" w:rsidRPr="00864496">
        <w:rPr>
          <w:rStyle w:val="s1"/>
          <w:rFonts w:asciiTheme="minorHAnsi" w:hAnsiTheme="minorHAnsi"/>
          <w:sz w:val="22"/>
          <w:szCs w:val="22"/>
        </w:rPr>
        <w:t xml:space="preserve">solicitaremos se deje sin efecto la medida de suspensión, para lo cual </w:t>
      </w:r>
      <w:r w:rsidR="00E26993" w:rsidRPr="00864496">
        <w:rPr>
          <w:rStyle w:val="s1"/>
          <w:rFonts w:asciiTheme="minorHAnsi" w:hAnsiTheme="minorHAnsi"/>
          <w:sz w:val="22"/>
          <w:szCs w:val="22"/>
        </w:rPr>
        <w:t xml:space="preserve">expondremos </w:t>
      </w:r>
      <w:r w:rsidR="00EA305C" w:rsidRPr="00864496">
        <w:rPr>
          <w:rStyle w:val="s1"/>
          <w:rFonts w:asciiTheme="minorHAnsi" w:hAnsiTheme="minorHAnsi"/>
          <w:sz w:val="22"/>
          <w:szCs w:val="22"/>
        </w:rPr>
        <w:t xml:space="preserve">detalladamente </w:t>
      </w:r>
      <w:r w:rsidR="00E26993" w:rsidRPr="00864496">
        <w:rPr>
          <w:rStyle w:val="s1"/>
          <w:rFonts w:asciiTheme="minorHAnsi" w:hAnsiTheme="minorHAnsi"/>
          <w:sz w:val="22"/>
          <w:szCs w:val="22"/>
        </w:rPr>
        <w:t>todos los antecedentes que acreditan la transparencia, legalidad y ecuanimidad con que se realizó la licitación.</w:t>
      </w:r>
    </w:p>
    <w:p w:rsidR="00F413E2" w:rsidRPr="00864496" w:rsidRDefault="00F413E2" w:rsidP="00864496">
      <w:pPr>
        <w:pStyle w:val="p1"/>
        <w:ind w:firstLine="45"/>
        <w:jc w:val="both"/>
        <w:rPr>
          <w:rStyle w:val="s1"/>
          <w:rFonts w:asciiTheme="minorHAnsi" w:hAnsiTheme="minorHAnsi"/>
          <w:sz w:val="22"/>
          <w:szCs w:val="22"/>
        </w:rPr>
      </w:pPr>
    </w:p>
    <w:p w:rsidR="00F413E2" w:rsidRPr="00864496" w:rsidRDefault="00F413E2" w:rsidP="00864496">
      <w:pPr>
        <w:pStyle w:val="p1"/>
        <w:numPr>
          <w:ilvl w:val="0"/>
          <w:numId w:val="1"/>
        </w:numPr>
        <w:jc w:val="both"/>
        <w:rPr>
          <w:rStyle w:val="s1"/>
          <w:rFonts w:asciiTheme="minorHAnsi" w:hAnsiTheme="minorHAnsi"/>
          <w:sz w:val="22"/>
          <w:szCs w:val="22"/>
        </w:rPr>
      </w:pPr>
      <w:r w:rsidRPr="00864496">
        <w:rPr>
          <w:rFonts w:asciiTheme="minorHAnsi" w:hAnsiTheme="minorHAnsi"/>
          <w:sz w:val="22"/>
          <w:szCs w:val="22"/>
        </w:rPr>
        <w:t>C</w:t>
      </w:r>
      <w:r w:rsidR="006D33B8" w:rsidRPr="00864496">
        <w:rPr>
          <w:rFonts w:asciiTheme="minorHAnsi" w:hAnsiTheme="minorHAnsi"/>
          <w:sz w:val="22"/>
          <w:szCs w:val="22"/>
        </w:rPr>
        <w:t>omo prueba de nuestra buena fe y colaboración</w:t>
      </w:r>
      <w:r w:rsidRPr="00864496">
        <w:rPr>
          <w:rFonts w:asciiTheme="minorHAnsi" w:hAnsiTheme="minorHAnsi"/>
          <w:sz w:val="22"/>
          <w:szCs w:val="22"/>
        </w:rPr>
        <w:t xml:space="preserve">, </w:t>
      </w:r>
      <w:r w:rsidRPr="00864496">
        <w:rPr>
          <w:rStyle w:val="s1"/>
          <w:rFonts w:asciiTheme="minorHAnsi" w:hAnsiTheme="minorHAnsi"/>
          <w:sz w:val="22"/>
          <w:szCs w:val="22"/>
        </w:rPr>
        <w:t xml:space="preserve">hemos presentado un escrito dándonos por notificados, </w:t>
      </w:r>
      <w:r w:rsidR="006D33B8" w:rsidRPr="00864496">
        <w:rPr>
          <w:rStyle w:val="s1"/>
          <w:rFonts w:asciiTheme="minorHAnsi" w:hAnsiTheme="minorHAnsi"/>
          <w:sz w:val="22"/>
          <w:szCs w:val="22"/>
        </w:rPr>
        <w:t>procediendo por consecuencia la suspensión de</w:t>
      </w:r>
      <w:r w:rsidR="00EA305C" w:rsidRPr="00864496">
        <w:rPr>
          <w:rStyle w:val="s1"/>
          <w:rFonts w:asciiTheme="minorHAnsi" w:hAnsiTheme="minorHAnsi"/>
          <w:sz w:val="22"/>
          <w:szCs w:val="22"/>
        </w:rPr>
        <w:t xml:space="preserve"> la apertura económica de las ofertas</w:t>
      </w:r>
      <w:r w:rsidR="006D33B8" w:rsidRPr="00864496">
        <w:rPr>
          <w:rStyle w:val="s1"/>
          <w:rFonts w:asciiTheme="minorHAnsi" w:hAnsiTheme="minorHAnsi"/>
          <w:sz w:val="22"/>
          <w:szCs w:val="22"/>
        </w:rPr>
        <w:t>. A su vez,</w:t>
      </w:r>
      <w:r w:rsidR="00EA305C" w:rsidRPr="00864496">
        <w:rPr>
          <w:rStyle w:val="s1"/>
          <w:rFonts w:asciiTheme="minorHAnsi" w:hAnsiTheme="minorHAnsi"/>
          <w:sz w:val="22"/>
          <w:szCs w:val="22"/>
        </w:rPr>
        <w:t xml:space="preserve"> se presentará al tribunal </w:t>
      </w:r>
      <w:r w:rsidR="006D33B8" w:rsidRPr="00864496">
        <w:rPr>
          <w:rStyle w:val="s1"/>
          <w:rFonts w:asciiTheme="minorHAnsi" w:hAnsiTheme="minorHAnsi"/>
          <w:sz w:val="22"/>
          <w:szCs w:val="22"/>
        </w:rPr>
        <w:t>un escrito para solicitar</w:t>
      </w:r>
      <w:r w:rsidR="00EA305C" w:rsidRPr="00864496">
        <w:rPr>
          <w:rStyle w:val="s1"/>
          <w:rFonts w:asciiTheme="minorHAnsi" w:hAnsiTheme="minorHAnsi"/>
          <w:sz w:val="22"/>
          <w:szCs w:val="22"/>
        </w:rPr>
        <w:t xml:space="preserve"> dejar sin efecto la medida cautelar ordenada</w:t>
      </w:r>
      <w:r w:rsidR="006D33B8" w:rsidRPr="00864496">
        <w:rPr>
          <w:rStyle w:val="s1"/>
          <w:rFonts w:asciiTheme="minorHAnsi" w:hAnsiTheme="minorHAnsi"/>
          <w:sz w:val="22"/>
          <w:szCs w:val="22"/>
        </w:rPr>
        <w:t xml:space="preserve"> y así</w:t>
      </w:r>
      <w:r w:rsidR="00EA305C" w:rsidRPr="00864496">
        <w:rPr>
          <w:rStyle w:val="s1"/>
          <w:rFonts w:asciiTheme="minorHAnsi" w:hAnsiTheme="minorHAnsi"/>
          <w:sz w:val="22"/>
          <w:szCs w:val="22"/>
        </w:rPr>
        <w:t xml:space="preserve"> continuar con el proceso de licitación que estamos desarrollando.</w:t>
      </w:r>
    </w:p>
    <w:p w:rsidR="00EA305C" w:rsidRPr="00864496" w:rsidRDefault="00EA305C" w:rsidP="00F413E2">
      <w:pPr>
        <w:pStyle w:val="p1"/>
        <w:jc w:val="both"/>
        <w:rPr>
          <w:rStyle w:val="s1"/>
          <w:rFonts w:asciiTheme="minorHAnsi" w:hAnsiTheme="minorHAnsi"/>
          <w:sz w:val="22"/>
          <w:szCs w:val="22"/>
        </w:rPr>
      </w:pPr>
    </w:p>
    <w:p w:rsidR="00EA305C" w:rsidRPr="00864496" w:rsidRDefault="006D33B8" w:rsidP="00864496">
      <w:pPr>
        <w:pStyle w:val="p1"/>
        <w:numPr>
          <w:ilvl w:val="0"/>
          <w:numId w:val="1"/>
        </w:numPr>
        <w:jc w:val="both"/>
        <w:rPr>
          <w:rStyle w:val="s1"/>
          <w:rFonts w:asciiTheme="minorHAnsi" w:hAnsiTheme="minorHAnsi"/>
          <w:sz w:val="22"/>
          <w:szCs w:val="22"/>
        </w:rPr>
      </w:pPr>
      <w:r w:rsidRPr="00864496">
        <w:rPr>
          <w:rStyle w:val="s1"/>
          <w:rFonts w:asciiTheme="minorHAnsi" w:hAnsiTheme="minorHAnsi"/>
          <w:sz w:val="22"/>
          <w:szCs w:val="22"/>
        </w:rPr>
        <w:t xml:space="preserve">Por último, </w:t>
      </w:r>
      <w:r w:rsidR="00864496" w:rsidRPr="00864496">
        <w:rPr>
          <w:rStyle w:val="s1"/>
          <w:rFonts w:asciiTheme="minorHAnsi" w:hAnsiTheme="minorHAnsi"/>
          <w:sz w:val="22"/>
          <w:szCs w:val="22"/>
        </w:rPr>
        <w:t>recalcamos que no está en riesgo la operación actual del sistema, ni el servicio de transporte a  los usuarios.</w:t>
      </w:r>
    </w:p>
    <w:p w:rsidR="00F45756" w:rsidRPr="00864496" w:rsidRDefault="00F45756" w:rsidP="00C53BAB">
      <w:pPr>
        <w:jc w:val="both"/>
      </w:pPr>
      <w:bookmarkStart w:id="0" w:name="_GoBack"/>
      <w:bookmarkEnd w:id="0"/>
    </w:p>
    <w:p w:rsidR="00F45756" w:rsidRPr="00864496" w:rsidRDefault="00B92B2F" w:rsidP="00C53BAB">
      <w:pPr>
        <w:jc w:val="both"/>
      </w:pPr>
      <w:r>
        <w:t>Santiago, 25 de enero de 2018.</w:t>
      </w:r>
    </w:p>
    <w:sectPr w:rsidR="00F45756" w:rsidRPr="008644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9686C"/>
    <w:multiLevelType w:val="hybridMultilevel"/>
    <w:tmpl w:val="8C040C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33"/>
    <w:rsid w:val="000204E7"/>
    <w:rsid w:val="00040C5F"/>
    <w:rsid w:val="002C7109"/>
    <w:rsid w:val="003A4433"/>
    <w:rsid w:val="005220D5"/>
    <w:rsid w:val="0052300F"/>
    <w:rsid w:val="005A7DA0"/>
    <w:rsid w:val="006D33B8"/>
    <w:rsid w:val="00864496"/>
    <w:rsid w:val="00865571"/>
    <w:rsid w:val="008D568A"/>
    <w:rsid w:val="00AD2F82"/>
    <w:rsid w:val="00B92B2F"/>
    <w:rsid w:val="00C53BAB"/>
    <w:rsid w:val="00D13FCB"/>
    <w:rsid w:val="00E26993"/>
    <w:rsid w:val="00E73FE4"/>
    <w:rsid w:val="00EA305C"/>
    <w:rsid w:val="00F413E2"/>
    <w:rsid w:val="00F457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2C7109"/>
    <w:pPr>
      <w:spacing w:after="0" w:line="240" w:lineRule="auto"/>
    </w:pPr>
    <w:rPr>
      <w:rFonts w:ascii=".SF UI Text" w:hAnsi=".SF UI Text" w:cs="Times New Roman"/>
      <w:color w:val="454545"/>
      <w:sz w:val="26"/>
      <w:szCs w:val="26"/>
      <w:lang w:eastAsia="es-CL"/>
    </w:rPr>
  </w:style>
  <w:style w:type="character" w:customStyle="1" w:styleId="s1">
    <w:name w:val="s1"/>
    <w:basedOn w:val="Fuentedeprrafopredeter"/>
    <w:rsid w:val="002C7109"/>
    <w:rPr>
      <w:rFonts w:ascii=".SFUIText" w:hAnsi=".SFUIText" w:hint="default"/>
      <w:b w:val="0"/>
      <w:bCs w:val="0"/>
      <w:i w:val="0"/>
      <w:iCs w:val="0"/>
      <w:sz w:val="34"/>
      <w:szCs w:val="34"/>
    </w:rPr>
  </w:style>
  <w:style w:type="character" w:customStyle="1" w:styleId="apple-converted-space">
    <w:name w:val="apple-converted-space"/>
    <w:basedOn w:val="Fuentedeprrafopredeter"/>
    <w:rsid w:val="002C7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2C7109"/>
    <w:pPr>
      <w:spacing w:after="0" w:line="240" w:lineRule="auto"/>
    </w:pPr>
    <w:rPr>
      <w:rFonts w:ascii=".SF UI Text" w:hAnsi=".SF UI Text" w:cs="Times New Roman"/>
      <w:color w:val="454545"/>
      <w:sz w:val="26"/>
      <w:szCs w:val="26"/>
      <w:lang w:eastAsia="es-CL"/>
    </w:rPr>
  </w:style>
  <w:style w:type="character" w:customStyle="1" w:styleId="s1">
    <w:name w:val="s1"/>
    <w:basedOn w:val="Fuentedeprrafopredeter"/>
    <w:rsid w:val="002C7109"/>
    <w:rPr>
      <w:rFonts w:ascii=".SFUIText" w:hAnsi=".SFUIText" w:hint="default"/>
      <w:b w:val="0"/>
      <w:bCs w:val="0"/>
      <w:i w:val="0"/>
      <w:iCs w:val="0"/>
      <w:sz w:val="34"/>
      <w:szCs w:val="34"/>
    </w:rPr>
  </w:style>
  <w:style w:type="character" w:customStyle="1" w:styleId="apple-converted-space">
    <w:name w:val="apple-converted-space"/>
    <w:basedOn w:val="Fuentedeprrafopredeter"/>
    <w:rsid w:val="002C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Vasquez Aguayo</dc:creator>
  <cp:lastModifiedBy>Michel Núñez Muñoz</cp:lastModifiedBy>
  <cp:revision>4</cp:revision>
  <dcterms:created xsi:type="dcterms:W3CDTF">2018-01-25T22:38:00Z</dcterms:created>
  <dcterms:modified xsi:type="dcterms:W3CDTF">2018-01-25T22:43:00Z</dcterms:modified>
</cp:coreProperties>
</file>